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D912FBF" w14:textId="7AEC3C91" w:rsidR="008061F2" w:rsidRPr="00D57983" w:rsidRDefault="008061F2" w:rsidP="008061F2">
      <w:pPr>
        <w:widowControl w:val="0"/>
        <w:tabs>
          <w:tab w:val="right" w:pos="9639"/>
        </w:tabs>
        <w:spacing w:after="0"/>
        <w:jc w:val="both"/>
        <w:rPr>
          <w:rFonts w:ascii="Arial" w:hAnsi="Arial"/>
          <w:b/>
          <w:sz w:val="24"/>
          <w:szCs w:val="24"/>
          <w:lang w:val="en-US" w:eastAsia="ko-KR"/>
        </w:rPr>
      </w:pPr>
      <w:r w:rsidRPr="00297126">
        <w:rPr>
          <w:rFonts w:ascii="Arial" w:hAnsi="Arial"/>
          <w:b/>
          <w:sz w:val="24"/>
          <w:szCs w:val="24"/>
          <w:lang w:eastAsia="ko-KR"/>
        </w:rPr>
        <w:fldChar w:fldCharType="begin"/>
      </w:r>
      <w:r w:rsidRPr="00297126">
        <w:rPr>
          <w:rFonts w:ascii="Arial" w:hAnsi="Arial"/>
          <w:b/>
          <w:sz w:val="24"/>
          <w:szCs w:val="24"/>
          <w:lang w:val="en-US" w:eastAsia="ko-KR"/>
        </w:rPr>
        <w:instrText xml:space="preserve"> DOCPROPERTY  MeetingName  \* MERGEFORMAT </w:instrText>
      </w:r>
      <w:r w:rsidRPr="00297126">
        <w:rPr>
          <w:rFonts w:ascii="Arial" w:hAnsi="Arial"/>
          <w:b/>
          <w:sz w:val="24"/>
          <w:szCs w:val="24"/>
          <w:lang w:eastAsia="ko-KR"/>
        </w:rPr>
        <w:fldChar w:fldCharType="separate"/>
      </w:r>
      <w:r w:rsidRPr="00297126">
        <w:rPr>
          <w:rFonts w:ascii="Arial" w:hAnsi="Arial"/>
          <w:b/>
          <w:sz w:val="24"/>
          <w:szCs w:val="24"/>
          <w:lang w:val="en-US" w:eastAsia="ko-KR"/>
        </w:rPr>
        <w:t>3GPP TSG RAN WG1 #11</w:t>
      </w:r>
      <w:r w:rsidRPr="00297126">
        <w:rPr>
          <w:rFonts w:ascii="Arial" w:hAnsi="Arial"/>
          <w:b/>
          <w:sz w:val="24"/>
          <w:szCs w:val="24"/>
          <w:lang w:eastAsia="ko-KR"/>
        </w:rPr>
        <w:fldChar w:fldCharType="end"/>
      </w:r>
      <w:r w:rsidR="00621205" w:rsidRPr="00297126">
        <w:rPr>
          <w:rFonts w:ascii="Arial" w:hAnsi="Arial"/>
          <w:b/>
          <w:sz w:val="24"/>
          <w:szCs w:val="24"/>
          <w:lang w:val="en-US" w:eastAsia="ko-KR"/>
        </w:rPr>
        <w:t>2</w:t>
      </w:r>
      <w:r w:rsidRPr="00297126">
        <w:rPr>
          <w:rFonts w:ascii="Arial" w:hAnsi="Arial"/>
          <w:b/>
          <w:sz w:val="18"/>
          <w:lang w:val="en-US" w:eastAsia="ko-KR"/>
        </w:rPr>
        <w:tab/>
      </w:r>
      <w:r w:rsidR="008502F1" w:rsidRPr="00297126">
        <w:rPr>
          <w:rFonts w:ascii="Arial" w:hAnsi="Arial"/>
          <w:b/>
          <w:sz w:val="24"/>
          <w:szCs w:val="24"/>
          <w:lang w:val="en-US" w:eastAsia="ko-KR"/>
        </w:rPr>
        <w:t>R1-2</w:t>
      </w:r>
      <w:r w:rsidR="00621205" w:rsidRPr="00297126">
        <w:rPr>
          <w:rFonts w:ascii="Arial" w:hAnsi="Arial"/>
          <w:b/>
          <w:sz w:val="24"/>
          <w:szCs w:val="24"/>
          <w:lang w:val="en-US" w:eastAsia="ko-KR"/>
        </w:rPr>
        <w:t>30</w:t>
      </w:r>
      <w:r w:rsidR="00297126" w:rsidRPr="00297126">
        <w:rPr>
          <w:rFonts w:ascii="Arial" w:hAnsi="Arial"/>
          <w:b/>
          <w:sz w:val="24"/>
          <w:szCs w:val="24"/>
          <w:lang w:val="en-US" w:eastAsia="ko-KR"/>
        </w:rPr>
        <w:t>1728</w:t>
      </w:r>
    </w:p>
    <w:p w14:paraId="25E196DE" w14:textId="5FB651CE" w:rsidR="008061F2" w:rsidRPr="00621205" w:rsidRDefault="008061F2" w:rsidP="008061F2">
      <w:pPr>
        <w:widowControl w:val="0"/>
        <w:spacing w:after="0"/>
        <w:jc w:val="both"/>
        <w:rPr>
          <w:rFonts w:ascii="Arial" w:hAnsi="Arial"/>
          <w:b/>
          <w:sz w:val="24"/>
          <w:szCs w:val="24"/>
          <w:lang w:val="en-US" w:eastAsia="ko-KR"/>
        </w:rPr>
      </w:pPr>
      <w:r w:rsidRPr="00180F32">
        <w:rPr>
          <w:rFonts w:ascii="Arial" w:hAnsi="Arial"/>
          <w:b/>
          <w:sz w:val="24"/>
          <w:szCs w:val="24"/>
          <w:lang w:eastAsia="ko-KR"/>
        </w:rPr>
        <w:fldChar w:fldCharType="begin"/>
      </w:r>
      <w:r w:rsidRPr="00141FDD">
        <w:rPr>
          <w:rFonts w:ascii="Arial" w:hAnsi="Arial"/>
          <w:b/>
          <w:sz w:val="24"/>
          <w:szCs w:val="24"/>
          <w:lang w:val="en-US" w:eastAsia="ko-KR"/>
        </w:rPr>
        <w:instrText xml:space="preserve"> DOCPROPERTY  MeetingPlaceDates  \* MERGEFORMAT </w:instrText>
      </w:r>
      <w:r w:rsidRPr="00180F32">
        <w:rPr>
          <w:rFonts w:ascii="Arial" w:hAnsi="Arial"/>
          <w:b/>
          <w:sz w:val="24"/>
          <w:szCs w:val="24"/>
          <w:lang w:eastAsia="ko-KR"/>
        </w:rPr>
        <w:fldChar w:fldCharType="separate"/>
      </w:r>
      <w:r w:rsidR="00621205">
        <w:rPr>
          <w:rFonts w:ascii="Arial" w:hAnsi="Arial"/>
          <w:b/>
          <w:sz w:val="24"/>
          <w:szCs w:val="24"/>
          <w:lang w:val="en-US" w:eastAsia="ko-KR"/>
        </w:rPr>
        <w:t>Athens, Greece</w:t>
      </w:r>
      <w:r w:rsidRPr="00D57983">
        <w:rPr>
          <w:rFonts w:ascii="Arial" w:hAnsi="Arial"/>
          <w:b/>
          <w:sz w:val="24"/>
          <w:szCs w:val="24"/>
          <w:lang w:val="en-US" w:eastAsia="ko-KR"/>
        </w:rPr>
        <w:t xml:space="preserve">, </w:t>
      </w:r>
      <w:r w:rsidR="00621205">
        <w:rPr>
          <w:rFonts w:ascii="Arial" w:hAnsi="Arial"/>
          <w:b/>
          <w:sz w:val="24"/>
          <w:szCs w:val="24"/>
          <w:lang w:val="en-US" w:eastAsia="ko-KR"/>
        </w:rPr>
        <w:t>February 27</w:t>
      </w:r>
      <w:r w:rsidR="00621205" w:rsidRPr="00621205">
        <w:rPr>
          <w:rFonts w:ascii="Arial" w:hAnsi="Arial"/>
          <w:b/>
          <w:sz w:val="24"/>
          <w:szCs w:val="24"/>
          <w:vertAlign w:val="superscript"/>
          <w:lang w:val="en-US" w:eastAsia="ko-KR"/>
        </w:rPr>
        <w:t>th</w:t>
      </w:r>
      <w:r w:rsidR="00621205">
        <w:rPr>
          <w:rFonts w:ascii="Arial" w:hAnsi="Arial"/>
          <w:b/>
          <w:sz w:val="24"/>
          <w:szCs w:val="24"/>
          <w:lang w:val="en-US" w:eastAsia="ko-KR"/>
        </w:rPr>
        <w:t xml:space="preserve"> - March 3</w:t>
      </w:r>
      <w:r w:rsidR="00621205" w:rsidRPr="00621205">
        <w:rPr>
          <w:rFonts w:ascii="Arial" w:hAnsi="Arial"/>
          <w:b/>
          <w:sz w:val="24"/>
          <w:szCs w:val="24"/>
          <w:vertAlign w:val="superscript"/>
          <w:lang w:val="en-US" w:eastAsia="ko-KR"/>
        </w:rPr>
        <w:t>rd</w:t>
      </w:r>
      <w:r w:rsidRPr="00D57983">
        <w:rPr>
          <w:rFonts w:ascii="Arial" w:hAnsi="Arial"/>
          <w:b/>
          <w:sz w:val="24"/>
          <w:szCs w:val="24"/>
          <w:lang w:val="en-US" w:eastAsia="ko-KR"/>
        </w:rPr>
        <w:t>, 202</w:t>
      </w:r>
      <w:r w:rsidRPr="00180F32">
        <w:rPr>
          <w:rFonts w:ascii="Arial" w:hAnsi="Arial"/>
          <w:b/>
          <w:sz w:val="24"/>
          <w:szCs w:val="24"/>
          <w:lang w:eastAsia="ko-KR"/>
        </w:rPr>
        <w:fldChar w:fldCharType="end"/>
      </w:r>
      <w:r w:rsidR="00621205">
        <w:rPr>
          <w:rFonts w:ascii="Arial" w:hAnsi="Arial"/>
          <w:b/>
          <w:sz w:val="24"/>
          <w:szCs w:val="24"/>
          <w:lang w:val="en-US" w:eastAsia="ko-KR"/>
        </w:rPr>
        <w:t>3</w:t>
      </w:r>
    </w:p>
    <w:bookmarkEnd w:id="0"/>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4AF895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p>
    <w:p w14:paraId="30E02942" w14:textId="11CBDC88" w:rsidR="00E128F2" w:rsidRPr="00141FDD" w:rsidRDefault="0034111C" w:rsidP="16512788">
      <w:pPr>
        <w:tabs>
          <w:tab w:val="left" w:pos="1985"/>
        </w:tabs>
        <w:spacing w:after="120"/>
        <w:ind w:left="1985" w:hanging="1985"/>
        <w:rPr>
          <w:rFonts w:ascii="Arial" w:hAnsi="Arial" w:cs="Arial"/>
          <w:b/>
          <w:sz w:val="24"/>
          <w:szCs w:val="24"/>
          <w:lang w:val="en-US"/>
        </w:rPr>
      </w:pPr>
      <w:r w:rsidRPr="00141FDD">
        <w:rPr>
          <w:rFonts w:ascii="Arial" w:hAnsi="Arial" w:cs="Arial"/>
          <w:b/>
          <w:sz w:val="24"/>
          <w:szCs w:val="24"/>
          <w:lang w:val="en-US"/>
        </w:rPr>
        <w:t>Source:</w:t>
      </w:r>
      <w:r w:rsidRPr="00141FDD">
        <w:rPr>
          <w:rFonts w:ascii="Arial" w:hAnsi="Arial" w:cs="Arial"/>
          <w:b/>
          <w:sz w:val="24"/>
          <w:lang w:val="en-US"/>
        </w:rPr>
        <w:tab/>
      </w:r>
      <w:r w:rsidR="00013455" w:rsidRPr="00141FDD">
        <w:rPr>
          <w:rFonts w:ascii="Arial" w:hAnsi="Arial" w:cs="Arial"/>
          <w:b/>
          <w:sz w:val="24"/>
          <w:szCs w:val="24"/>
          <w:lang w:val="en-US"/>
        </w:rPr>
        <w:t xml:space="preserve">Nokia, </w:t>
      </w:r>
      <w:r w:rsidR="00E67802" w:rsidRPr="00141FDD">
        <w:rPr>
          <w:rFonts w:ascii="Arial" w:hAnsi="Arial" w:cs="Arial"/>
          <w:b/>
          <w:sz w:val="24"/>
          <w:szCs w:val="24"/>
          <w:lang w:val="en-US"/>
        </w:rPr>
        <w:t>Nokia</w:t>
      </w:r>
      <w:r w:rsidR="00013455" w:rsidRPr="00141FDD">
        <w:rPr>
          <w:rFonts w:ascii="Arial" w:hAnsi="Arial" w:cs="Arial"/>
          <w:b/>
          <w:sz w:val="24"/>
          <w:szCs w:val="24"/>
          <w:lang w:val="en-US"/>
        </w:rPr>
        <w:t xml:space="preserve"> Shanghai Bell</w:t>
      </w:r>
    </w:p>
    <w:p w14:paraId="30E02943" w14:textId="30D1E306" w:rsidR="0034111C" w:rsidRPr="00141FDD" w:rsidRDefault="0034111C" w:rsidP="16512788">
      <w:pPr>
        <w:ind w:left="1985" w:hanging="1985"/>
        <w:rPr>
          <w:rFonts w:ascii="Arial" w:hAnsi="Arial" w:cs="Arial"/>
          <w:b/>
          <w:sz w:val="24"/>
          <w:szCs w:val="24"/>
          <w:lang w:val="en-US"/>
        </w:rPr>
      </w:pPr>
      <w:r w:rsidRPr="00141FDD">
        <w:rPr>
          <w:rFonts w:ascii="Arial" w:hAnsi="Arial" w:cs="Arial"/>
          <w:b/>
          <w:sz w:val="24"/>
          <w:szCs w:val="24"/>
          <w:lang w:val="en-US"/>
        </w:rPr>
        <w:t>Title:</w:t>
      </w:r>
      <w:r w:rsidRPr="00141FDD">
        <w:rPr>
          <w:rFonts w:ascii="Arial" w:hAnsi="Arial" w:cs="Arial"/>
          <w:b/>
          <w:sz w:val="24"/>
          <w:lang w:val="en-US"/>
        </w:rPr>
        <w:tab/>
      </w:r>
      <w:r w:rsidR="00CB76B6">
        <w:rPr>
          <w:rFonts w:ascii="Arial" w:hAnsi="Arial" w:cs="Arial"/>
          <w:b/>
          <w:sz w:val="24"/>
          <w:lang w:val="en-US"/>
        </w:rPr>
        <w:t>Discussion on UE resuming a UE-initiated COT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Pr="00141FDD" w:rsidRDefault="001B6304" w:rsidP="001B6304">
      <w:pPr>
        <w:spacing w:after="0"/>
        <w:rPr>
          <w:rStyle w:val="normaltextrun"/>
          <w:color w:val="000000"/>
          <w:shd w:val="clear" w:color="auto" w:fill="FFFFFF"/>
          <w:lang w:val="en-US"/>
        </w:rPr>
      </w:pPr>
      <w:bookmarkStart w:id="1" w:name="_Hlk510705081"/>
      <w:r w:rsidRPr="00D57983">
        <w:rPr>
          <w:rStyle w:val="normaltextrun"/>
          <w:color w:val="000000"/>
          <w:shd w:val="clear" w:color="auto" w:fill="FFFFFF"/>
          <w:lang w:val="en-US"/>
        </w:rPr>
        <w:t>The revised work item on supporting NR from 52.6 GHz to 71 GHz </w:t>
      </w:r>
      <w:r>
        <w:fldChar w:fldCharType="begin"/>
      </w:r>
      <w:r w:rsidRPr="00D57983">
        <w:rPr>
          <w:lang w:val="en-US"/>
        </w:rPr>
        <w:instrText xml:space="preserve"> REF _Ref60037135 \r \h </w:instrText>
      </w:r>
      <w:r>
        <w:fldChar w:fldCharType="separate"/>
      </w:r>
      <w:r w:rsidRPr="00D57983">
        <w:rPr>
          <w:lang w:val="en-US"/>
        </w:rPr>
        <w:t>[1]</w:t>
      </w:r>
      <w:r>
        <w:fldChar w:fldCharType="end"/>
      </w:r>
      <w:r w:rsidRPr="00D57983">
        <w:rPr>
          <w:rStyle w:val="normaltextrun"/>
          <w:color w:val="000000"/>
          <w:shd w:val="clear" w:color="auto" w:fill="FFFFFF"/>
          <w:lang w:val="en-US"/>
        </w:rPr>
        <w:t> was approved at RAN#9</w:t>
      </w:r>
      <w:r w:rsidR="000F72E6" w:rsidRPr="00D57983">
        <w:rPr>
          <w:rStyle w:val="normaltextrun"/>
          <w:color w:val="000000"/>
          <w:shd w:val="clear" w:color="auto" w:fill="FFFFFF"/>
          <w:lang w:val="en-US"/>
        </w:rPr>
        <w:t>2</w:t>
      </w:r>
      <w:r w:rsidRPr="00D57983">
        <w:rPr>
          <w:rStyle w:val="normaltextrun"/>
          <w:color w:val="000000"/>
          <w:shd w:val="clear" w:color="auto" w:fill="FFFFFF"/>
          <w:lang w:val="en-US"/>
        </w:rPr>
        <w:t>-e. Before that</w:t>
      </w:r>
      <w:r w:rsidR="00910F71" w:rsidRPr="00D57983">
        <w:rPr>
          <w:rStyle w:val="normaltextrun"/>
          <w:color w:val="000000"/>
          <w:shd w:val="clear" w:color="auto" w:fill="FFFFFF"/>
          <w:lang w:val="en-US"/>
        </w:rPr>
        <w:t>,</w:t>
      </w:r>
      <w:r w:rsidRPr="00D57983">
        <w:rPr>
          <w:rStyle w:val="normaltextrun"/>
          <w:color w:val="000000"/>
          <w:shd w:val="clear" w:color="auto" w:fill="FFFFFF"/>
          <w:lang w:val="en-US"/>
        </w:rPr>
        <w:t xml:space="preserve"> </w:t>
      </w:r>
      <w:r w:rsidRPr="00D57983">
        <w:rPr>
          <w:lang w:val="en-US"/>
        </w:rPr>
        <w:t>3</w:t>
      </w:r>
      <w:proofErr w:type="gramStart"/>
      <w:r w:rsidRPr="00D57983">
        <w:rPr>
          <w:lang w:val="en-US"/>
        </w:rPr>
        <w:t>GPP  carried</w:t>
      </w:r>
      <w:proofErr w:type="gramEnd"/>
      <w:r w:rsidRPr="00D57983">
        <w:rPr>
          <w:lang w:val="en-US"/>
        </w:rPr>
        <w:t xml:space="preserve"> out a study on required changes to NR using existing DL/UL waveform to support operation between 52.6 GHz and 71GHz</w:t>
      </w:r>
      <w:r w:rsidR="00580BBF" w:rsidRPr="00D57983">
        <w:rPr>
          <w:lang w:val="en-US"/>
        </w:rPr>
        <w:t>, reported in</w:t>
      </w:r>
      <w:r w:rsidRPr="00D57983">
        <w:rPr>
          <w:lang w:val="en-US"/>
        </w:rPr>
        <w:t xml:space="preserve"> </w:t>
      </w:r>
      <w:r>
        <w:rPr>
          <w:rFonts w:eastAsia="Times New Roman"/>
          <w:color w:val="000000"/>
        </w:rPr>
        <w:fldChar w:fldCharType="begin"/>
      </w:r>
      <w:r w:rsidRPr="00D57983">
        <w:rPr>
          <w:rFonts w:eastAsia="Times New Roman"/>
          <w:color w:val="000000"/>
          <w:lang w:val="en-US"/>
        </w:rPr>
        <w:instrText xml:space="preserve"> REF _Ref60037183 \r \h </w:instrText>
      </w:r>
      <w:r>
        <w:rPr>
          <w:rFonts w:eastAsia="Times New Roman"/>
          <w:color w:val="000000"/>
        </w:rPr>
      </w:r>
      <w:r>
        <w:rPr>
          <w:rFonts w:eastAsia="Times New Roman"/>
          <w:color w:val="000000"/>
        </w:rPr>
        <w:fldChar w:fldCharType="separate"/>
      </w:r>
      <w:r w:rsidRPr="00D57983">
        <w:rPr>
          <w:rFonts w:eastAsia="Times New Roman"/>
          <w:color w:val="000000"/>
          <w:lang w:val="en-US"/>
        </w:rPr>
        <w:t>[2]</w:t>
      </w:r>
      <w:r>
        <w:rPr>
          <w:rFonts w:eastAsia="Times New Roman"/>
          <w:color w:val="000000"/>
        </w:rPr>
        <w:fldChar w:fldCharType="end"/>
      </w:r>
      <w:r w:rsidRPr="00D57983">
        <w:rPr>
          <w:lang w:val="en-US"/>
        </w:rPr>
        <w:t xml:space="preserve">. </w:t>
      </w:r>
      <w:r w:rsidRPr="00141FDD">
        <w:rPr>
          <w:lang w:val="en-US"/>
        </w:rPr>
        <w:t>This contribution deals with the following objective of the WID</w:t>
      </w:r>
      <w:r w:rsidRPr="00141FDD">
        <w:rPr>
          <w:rStyle w:val="normaltextrun"/>
          <w:color w:val="000000"/>
          <w:shd w:val="clear" w:color="auto" w:fill="FFFFFF"/>
          <w:lang w:val="en-US"/>
        </w:rPr>
        <w:t>:</w:t>
      </w:r>
    </w:p>
    <w:p w14:paraId="3459E899" w14:textId="77777777" w:rsidR="00E16664" w:rsidRPr="00141FDD" w:rsidRDefault="00E16664" w:rsidP="00051AD3">
      <w:pPr>
        <w:pStyle w:val="B1"/>
        <w:numPr>
          <w:ilvl w:val="0"/>
          <w:numId w:val="6"/>
        </w:numPr>
        <w:spacing w:before="180" w:after="0"/>
        <w:ind w:hanging="357"/>
        <w:rPr>
          <w:color w:val="0070C0"/>
          <w:lang w:val="en-US"/>
        </w:rPr>
      </w:pPr>
      <w:r w:rsidRPr="00141FDD">
        <w:rPr>
          <w:color w:val="0070C0"/>
          <w:lang w:val="en-US" w:eastAsia="ja-JP"/>
        </w:rPr>
        <w:t xml:space="preserve">Channel access mechanism assuming </w:t>
      </w:r>
      <w:proofErr w:type="gramStart"/>
      <w:r w:rsidRPr="00141FDD">
        <w:rPr>
          <w:color w:val="0070C0"/>
          <w:lang w:val="en-US" w:eastAsia="ja-JP"/>
        </w:rPr>
        <w:t>beam based</w:t>
      </w:r>
      <w:proofErr w:type="gramEnd"/>
      <w:r w:rsidRPr="00141FDD">
        <w:rPr>
          <w:color w:val="0070C0"/>
          <w:lang w:val="en-US" w:eastAsia="ja-JP"/>
        </w:rPr>
        <w:t xml:space="preserve"> operation in order to comply with the regulatory requirements applicable to unlicensed spectrum for frequencies between 52.6GHz and 71GHz.</w:t>
      </w:r>
    </w:p>
    <w:p w14:paraId="783CF352" w14:textId="77777777" w:rsidR="00E16664" w:rsidRPr="00141FDD" w:rsidRDefault="00E16664" w:rsidP="00051AD3">
      <w:pPr>
        <w:pStyle w:val="B1"/>
        <w:numPr>
          <w:ilvl w:val="1"/>
          <w:numId w:val="6"/>
        </w:numPr>
        <w:spacing w:before="60" w:after="0"/>
        <w:ind w:left="1366" w:hanging="357"/>
        <w:rPr>
          <w:color w:val="0070C0"/>
          <w:lang w:val="en-US"/>
        </w:rPr>
      </w:pPr>
      <w:r w:rsidRPr="00141FDD">
        <w:rPr>
          <w:color w:val="0070C0"/>
          <w:lang w:val="en-US"/>
        </w:rPr>
        <w:t>Specify both LBT and No-LBT related procedures, and for No-LBT case no additional sensing mechanism is specified.</w:t>
      </w:r>
    </w:p>
    <w:p w14:paraId="554F8467" w14:textId="77777777" w:rsidR="00E16664" w:rsidRPr="00141FDD" w:rsidRDefault="00E16664" w:rsidP="00051AD3">
      <w:pPr>
        <w:pStyle w:val="B1"/>
        <w:numPr>
          <w:ilvl w:val="1"/>
          <w:numId w:val="6"/>
        </w:numPr>
        <w:spacing w:before="60" w:after="0"/>
        <w:ind w:left="1366" w:hanging="357"/>
        <w:rPr>
          <w:color w:val="0070C0"/>
          <w:lang w:val="en-US"/>
        </w:rPr>
      </w:pPr>
      <w:r w:rsidRPr="00141FDD">
        <w:rPr>
          <w:color w:val="0070C0"/>
          <w:lang w:val="en-US"/>
        </w:rPr>
        <w:t xml:space="preserve">Study, and if needed specify, omni-directional LBT, directional LBT and receiver </w:t>
      </w:r>
      <w:r w:rsidRPr="00141FDD">
        <w:rPr>
          <w:rFonts w:hint="eastAsia"/>
          <w:color w:val="0070C0"/>
          <w:lang w:val="en-US"/>
        </w:rPr>
        <w:t>assistance in channel access</w:t>
      </w:r>
    </w:p>
    <w:p w14:paraId="697DE5E4" w14:textId="77777777" w:rsidR="00CF4FED" w:rsidRPr="00141FDD" w:rsidRDefault="00E16664" w:rsidP="00051AD3">
      <w:pPr>
        <w:pStyle w:val="B1"/>
        <w:numPr>
          <w:ilvl w:val="1"/>
          <w:numId w:val="6"/>
        </w:numPr>
        <w:spacing w:before="60"/>
        <w:ind w:left="1366"/>
        <w:rPr>
          <w:color w:val="0070C0"/>
          <w:lang w:val="en-US"/>
        </w:rPr>
      </w:pPr>
      <w:r w:rsidRPr="00141FDD">
        <w:rPr>
          <w:color w:val="0070C0"/>
          <w:lang w:val="en-US"/>
        </w:rPr>
        <w:t>Study, and if needed specify, energy detection threshold enhancement</w:t>
      </w:r>
    </w:p>
    <w:p w14:paraId="669747BF" w14:textId="7D929C31" w:rsidR="00E16664" w:rsidRPr="00F308AD" w:rsidRDefault="00924E3B" w:rsidP="00CF4FED">
      <w:pPr>
        <w:pStyle w:val="B1"/>
        <w:spacing w:before="180"/>
        <w:ind w:left="0" w:firstLine="0"/>
        <w:jc w:val="both"/>
      </w:pPr>
      <w:r w:rsidRPr="00141FDD">
        <w:rPr>
          <w:lang w:val="en-US"/>
        </w:rPr>
        <w:t xml:space="preserve">Most of the work was completed at RAN1#107-e </w:t>
      </w:r>
      <w:r w:rsidR="00872B15" w:rsidRPr="00141FDD">
        <w:rPr>
          <w:lang w:val="en-US"/>
        </w:rPr>
        <w:t>[</w:t>
      </w:r>
      <w:r w:rsidR="00FE29FB" w:rsidRPr="00141FDD">
        <w:rPr>
          <w:lang w:val="en-US"/>
        </w:rPr>
        <w:t>3</w:t>
      </w:r>
      <w:r w:rsidR="00B02A7F" w:rsidRPr="00141FDD">
        <w:rPr>
          <w:lang w:val="en-US"/>
        </w:rPr>
        <w:t xml:space="preserve">] </w:t>
      </w:r>
      <w:r w:rsidRPr="00141FDD">
        <w:rPr>
          <w:lang w:val="en-US"/>
        </w:rPr>
        <w:t>and the first CRs to introduce the feature were approved at the subsequent RAN plenary meeting. In this contribution we discuss the remaining open issues on various aspects related to channel access procedures</w:t>
      </w:r>
      <w:r w:rsidR="7DCE4E9D" w:rsidRPr="00141FDD">
        <w:rPr>
          <w:lang w:val="en-US"/>
        </w:rPr>
        <w:t>.</w:t>
      </w:r>
      <w:r w:rsidR="008061F2" w:rsidRPr="00141FDD">
        <w:rPr>
          <w:lang w:val="en-US"/>
        </w:rPr>
        <w:t xml:space="preserve"> </w:t>
      </w:r>
      <w:r w:rsidR="008061F2">
        <w:t xml:space="preserve">The accompanying Draft </w:t>
      </w:r>
      <w:proofErr w:type="spellStart"/>
      <w:r w:rsidR="008061F2">
        <w:t>CRs</w:t>
      </w:r>
      <w:proofErr w:type="spellEnd"/>
      <w:r w:rsidR="008061F2">
        <w:t xml:space="preserve"> are in separate </w:t>
      </w:r>
      <w:proofErr w:type="spellStart"/>
      <w:r w:rsidR="008061F2">
        <w:t>TDocs</w:t>
      </w:r>
      <w:proofErr w:type="spellEnd"/>
      <w:r w:rsidR="008061F2">
        <w:t>.</w:t>
      </w:r>
    </w:p>
    <w:p w14:paraId="39BB5E1F" w14:textId="77777777" w:rsidR="00E33754" w:rsidRPr="00F308AD" w:rsidRDefault="00E33754" w:rsidP="0095662D">
      <w:pPr>
        <w:jc w:val="both"/>
        <w:rPr>
          <w:i/>
        </w:rPr>
      </w:pPr>
      <w:bookmarkStart w:id="2" w:name="_Hlk68622208"/>
      <w:bookmarkStart w:id="3" w:name="_Hlk71631253"/>
    </w:p>
    <w:p w14:paraId="25BD6390" w14:textId="0BF9AB2C" w:rsidR="00F95820" w:rsidRDefault="00F95820" w:rsidP="00F95820">
      <w:pPr>
        <w:pStyle w:val="Heading1"/>
      </w:pPr>
      <w:bookmarkStart w:id="4" w:name="_Hlk92798891"/>
      <w:bookmarkEnd w:id="2"/>
      <w:bookmarkEnd w:id="3"/>
      <w:r>
        <w:t>On channel access procedure details</w:t>
      </w:r>
    </w:p>
    <w:p w14:paraId="7CE02574" w14:textId="3CEEBA32" w:rsidR="00B74AC8" w:rsidRPr="00141FDD" w:rsidRDefault="00621205" w:rsidP="00B74AC8">
      <w:pPr>
        <w:jc w:val="both"/>
        <w:rPr>
          <w:lang w:val="en-US"/>
        </w:rPr>
      </w:pPr>
      <w:r>
        <w:rPr>
          <w:lang w:val="en-US"/>
        </w:rPr>
        <w:t>One final open</w:t>
      </w:r>
      <w:r w:rsidR="00B74AC8" w:rsidRPr="00141FDD">
        <w:rPr>
          <w:lang w:val="en-US"/>
        </w:rPr>
        <w:t xml:space="preserve"> issue relate</w:t>
      </w:r>
      <w:r>
        <w:rPr>
          <w:lang w:val="en-US"/>
        </w:rPr>
        <w:t>s</w:t>
      </w:r>
      <w:r w:rsidR="00B74AC8" w:rsidRPr="00141FDD">
        <w:rPr>
          <w:lang w:val="en-US"/>
        </w:rPr>
        <w:t xml:space="preserve"> to the channel access type that UE can use when resuming a UE initiated COT after a gap.</w:t>
      </w:r>
      <w:r w:rsidR="00E33AE7" w:rsidRPr="00141FDD">
        <w:rPr>
          <w:lang w:val="en-US"/>
        </w:rPr>
        <w:t xml:space="preserve"> The discussions in RAN1#109e focused on solutions without any impact on RRC, leading to the following proposal with two alternatives:</w:t>
      </w:r>
    </w:p>
    <w:tbl>
      <w:tblPr>
        <w:tblStyle w:val="TableGrid"/>
        <w:tblW w:w="0" w:type="auto"/>
        <w:tblLook w:val="04A0" w:firstRow="1" w:lastRow="0" w:firstColumn="1" w:lastColumn="0" w:noHBand="0" w:noVBand="1"/>
      </w:tblPr>
      <w:tblGrid>
        <w:gridCol w:w="9629"/>
      </w:tblGrid>
      <w:tr w:rsidR="00E33AE7" w:rsidRPr="00141FDD" w14:paraId="001890E5" w14:textId="77777777" w:rsidTr="00AC35AB">
        <w:tc>
          <w:tcPr>
            <w:tcW w:w="9629" w:type="dxa"/>
          </w:tcPr>
          <w:p w14:paraId="6E1C7593" w14:textId="77777777" w:rsidR="00E33AE7" w:rsidRPr="00E33AE7" w:rsidRDefault="00E33AE7" w:rsidP="00E33AE7">
            <w:pPr>
              <w:pStyle w:val="discussionpoint"/>
              <w:rPr>
                <w:rFonts w:asciiTheme="minorHAnsi" w:hAnsiTheme="minorHAnsi" w:cstheme="minorHAnsi"/>
                <w:sz w:val="20"/>
                <w:szCs w:val="20"/>
                <w:lang w:eastAsia="zh-CN"/>
              </w:rPr>
            </w:pPr>
            <w:r w:rsidRPr="00E33AE7">
              <w:rPr>
                <w:rFonts w:asciiTheme="minorHAnsi" w:hAnsiTheme="minorHAnsi" w:cstheme="minorHAnsi"/>
                <w:sz w:val="20"/>
                <w:szCs w:val="20"/>
              </w:rPr>
              <w:t>Proposal 5-8-2: (2</w:t>
            </w:r>
            <w:r w:rsidRPr="00E33AE7">
              <w:rPr>
                <w:rFonts w:asciiTheme="minorHAnsi" w:hAnsiTheme="minorHAnsi" w:cstheme="minorHAnsi"/>
                <w:sz w:val="20"/>
                <w:szCs w:val="20"/>
                <w:vertAlign w:val="superscript"/>
              </w:rPr>
              <w:t>nd</w:t>
            </w:r>
            <w:r w:rsidRPr="00E33AE7">
              <w:rPr>
                <w:rFonts w:asciiTheme="minorHAnsi" w:hAnsiTheme="minorHAnsi" w:cstheme="minorHAnsi"/>
                <w:sz w:val="20"/>
                <w:szCs w:val="20"/>
              </w:rPr>
              <w:t xml:space="preserve"> round) </w:t>
            </w:r>
          </w:p>
          <w:p w14:paraId="54D77738" w14:textId="77777777" w:rsidR="00E33AE7" w:rsidRPr="00141FDD" w:rsidRDefault="00E33AE7" w:rsidP="00E33AE7">
            <w:pPr>
              <w:pStyle w:val="ListParagraph"/>
              <w:numPr>
                <w:ilvl w:val="0"/>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 xml:space="preserve">For a UE initiated COT, UE resumes transmission within MCOT after a gap of Y us from previous transmission from either gNB or UE is supported. </w:t>
            </w:r>
          </w:p>
          <w:p w14:paraId="6905920F" w14:textId="77777777" w:rsidR="00E33AE7" w:rsidRPr="00E33AE7" w:rsidRDefault="00E33AE7" w:rsidP="00E33AE7">
            <w:pPr>
              <w:pStyle w:val="ListParagraph"/>
              <w:numPr>
                <w:ilvl w:val="0"/>
                <w:numId w:val="39"/>
              </w:numPr>
              <w:kinsoku w:val="0"/>
              <w:overflowPunct w:val="0"/>
              <w:adjustRightInd w:val="0"/>
              <w:snapToGrid w:val="0"/>
              <w:spacing w:after="60" w:line="256" w:lineRule="auto"/>
              <w:contextualSpacing w:val="0"/>
              <w:rPr>
                <w:rFonts w:cstheme="minorHAnsi"/>
                <w:sz w:val="20"/>
                <w:szCs w:val="20"/>
              </w:rPr>
            </w:pPr>
            <w:r w:rsidRPr="00141FDD">
              <w:rPr>
                <w:rFonts w:cstheme="minorHAnsi"/>
                <w:sz w:val="20"/>
                <w:szCs w:val="20"/>
                <w:lang w:val="en-US"/>
              </w:rPr>
              <w:t xml:space="preserve">The UE can use either Type 2 channel access or Type 3 channel access before resuming transmission. </w:t>
            </w:r>
            <w:r w:rsidRPr="00E33AE7">
              <w:rPr>
                <w:rFonts w:cstheme="minorHAnsi"/>
                <w:sz w:val="20"/>
                <w:szCs w:val="20"/>
              </w:rPr>
              <w:t xml:space="preserve">Down select the following alternatives </w:t>
            </w:r>
          </w:p>
          <w:p w14:paraId="15C126D0" w14:textId="77777777" w:rsidR="00E33AE7" w:rsidRPr="00141FDD" w:rsidRDefault="00E33AE7" w:rsidP="00E33AE7">
            <w:pPr>
              <w:pStyle w:val="ListParagraph"/>
              <w:numPr>
                <w:ilvl w:val="1"/>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Alt 1: The channel access type to use to resume COT after a gap is left to UE implementation.</w:t>
            </w:r>
          </w:p>
          <w:p w14:paraId="2DFAB97A"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 xml:space="preserve">It is UE’s responsibility to comply with local regulation. </w:t>
            </w:r>
          </w:p>
          <w:p w14:paraId="06AA54D7"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color w:val="000000" w:themeColor="text1"/>
                <w:sz w:val="20"/>
                <w:szCs w:val="20"/>
                <w:lang w:val="en-US"/>
              </w:rPr>
            </w:pPr>
            <w:r w:rsidRPr="00141FDD">
              <w:rPr>
                <w:rFonts w:cstheme="minorHAnsi"/>
                <w:color w:val="000000" w:themeColor="text1"/>
                <w:sz w:val="20"/>
                <w:szCs w:val="20"/>
                <w:lang w:val="en-US"/>
              </w:rPr>
              <w:t xml:space="preserve">If the UE is not aware of local regulation, the UE may resume transmission with Type 2 channel access if the UE is capable of Type 2 channel access. </w:t>
            </w:r>
          </w:p>
          <w:p w14:paraId="4F857593"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color w:val="000000" w:themeColor="text1"/>
                <w:sz w:val="20"/>
                <w:szCs w:val="20"/>
                <w:lang w:val="en-US"/>
              </w:rPr>
            </w:pPr>
            <w:r w:rsidRPr="00141FDD">
              <w:rPr>
                <w:rFonts w:cstheme="minorHAnsi"/>
                <w:color w:val="000000" w:themeColor="text1"/>
                <w:sz w:val="20"/>
                <w:szCs w:val="20"/>
                <w:lang w:val="en-US"/>
              </w:rPr>
              <w:t>If the UE is not aware of local regulation, and the UE is not capable of Type 2 channel access, the UE should not resume transmission</w:t>
            </w:r>
          </w:p>
          <w:p w14:paraId="4DFC6E74" w14:textId="77777777" w:rsidR="00E33AE7" w:rsidRPr="00E33AE7"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rPr>
            </w:pPr>
            <w:r w:rsidRPr="00E33AE7">
              <w:rPr>
                <w:rFonts w:cstheme="minorHAnsi"/>
                <w:sz w:val="20"/>
                <w:szCs w:val="20"/>
              </w:rPr>
              <w:t>FFS: Spec impact</w:t>
            </w:r>
          </w:p>
          <w:p w14:paraId="6826411D"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lastRenderedPageBreak/>
              <w:t xml:space="preserve">Support: FW, HW, LGE, Nokia, NSB, Ericsson, Oppo, Xiaomi, </w:t>
            </w:r>
            <w:proofErr w:type="spellStart"/>
            <w:r w:rsidRPr="00141FDD">
              <w:rPr>
                <w:rFonts w:cstheme="minorHAnsi"/>
                <w:sz w:val="20"/>
                <w:szCs w:val="20"/>
                <w:lang w:val="en-US"/>
              </w:rPr>
              <w:t>Transsion</w:t>
            </w:r>
            <w:proofErr w:type="spellEnd"/>
            <w:r w:rsidRPr="00141FDD">
              <w:rPr>
                <w:rFonts w:cstheme="minorHAnsi"/>
                <w:sz w:val="20"/>
                <w:szCs w:val="20"/>
                <w:lang w:val="en-US"/>
              </w:rPr>
              <w:t>, Samsung</w:t>
            </w:r>
          </w:p>
          <w:p w14:paraId="1E9CE1BC" w14:textId="77777777" w:rsidR="00E33AE7" w:rsidRPr="00E33AE7" w:rsidRDefault="00E33AE7" w:rsidP="00E33AE7">
            <w:pPr>
              <w:pStyle w:val="ListParagraph"/>
              <w:numPr>
                <w:ilvl w:val="1"/>
                <w:numId w:val="39"/>
              </w:numPr>
              <w:kinsoku w:val="0"/>
              <w:overflowPunct w:val="0"/>
              <w:adjustRightInd w:val="0"/>
              <w:snapToGrid w:val="0"/>
              <w:spacing w:after="60" w:line="256" w:lineRule="auto"/>
              <w:contextualSpacing w:val="0"/>
              <w:rPr>
                <w:rFonts w:cstheme="minorHAnsi"/>
                <w:sz w:val="20"/>
                <w:szCs w:val="20"/>
              </w:rPr>
            </w:pPr>
            <w:r w:rsidRPr="00E33AE7">
              <w:rPr>
                <w:rFonts w:cstheme="minorHAnsi"/>
                <w:sz w:val="20"/>
                <w:szCs w:val="20"/>
              </w:rPr>
              <w:t xml:space="preserve">Alt 4:   </w:t>
            </w:r>
          </w:p>
          <w:p w14:paraId="038CA7DE"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If Type 2 Channel Access is configured as one of the entries in the configuration for DCI 0_1 (or DCI 1_1), the UE can use Type 2 channel access to resume the COT</w:t>
            </w:r>
          </w:p>
          <w:p w14:paraId="46109676"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If Type 2 Channel Access is not configured as one of the entries in the configuration for DCI 0_1, the UE can use Type 3 channel access to resume the COT</w:t>
            </w:r>
          </w:p>
          <w:p w14:paraId="05690A28" w14:textId="77777777" w:rsidR="00E33AE7" w:rsidRPr="00E33AE7"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rPr>
            </w:pPr>
            <w:r w:rsidRPr="00E33AE7">
              <w:rPr>
                <w:rFonts w:cstheme="minorHAnsi"/>
                <w:sz w:val="20"/>
                <w:szCs w:val="20"/>
              </w:rPr>
              <w:t>TP 5-8-2-A</w:t>
            </w:r>
          </w:p>
          <w:p w14:paraId="5866F02B" w14:textId="0A4A257C"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Support: Qualcomm (also fine), HW, ZTE (preferred), IDCC, Intel</w:t>
            </w:r>
          </w:p>
        </w:tc>
      </w:tr>
    </w:tbl>
    <w:p w14:paraId="67182F99" w14:textId="0CF8E408" w:rsidR="003D2123" w:rsidRDefault="00E252CC" w:rsidP="00E33AE7">
      <w:pPr>
        <w:spacing w:before="240"/>
        <w:jc w:val="both"/>
        <w:rPr>
          <w:lang w:val="en-US"/>
        </w:rPr>
      </w:pPr>
      <w:r w:rsidRPr="00141FDD">
        <w:rPr>
          <w:lang w:val="en-US"/>
        </w:rPr>
        <w:lastRenderedPageBreak/>
        <w:t xml:space="preserve">We see that the selection of channel access type for resuming COT can simply be left for UE implementation, which is expected to comply with relevant regulation. </w:t>
      </w:r>
      <w:r w:rsidR="007612EB" w:rsidRPr="00141FDD">
        <w:rPr>
          <w:lang w:val="en-US"/>
        </w:rPr>
        <w:t xml:space="preserve">Further, we do not expect any substantial benefits from specifying specific rules for this case, as proposed in Alt.4. </w:t>
      </w:r>
      <w:r w:rsidR="003D2123">
        <w:rPr>
          <w:lang w:val="en-US"/>
        </w:rPr>
        <w:t xml:space="preserve">Nevertheless, it is important to highlight in TS 37.213 that UE is allowed to continue transmitting in a COT that it has initiated after a gap. </w:t>
      </w:r>
    </w:p>
    <w:p w14:paraId="4D8597D2" w14:textId="2B703378" w:rsidR="00B1114B" w:rsidRDefault="007612EB" w:rsidP="00B1114B">
      <w:pPr>
        <w:spacing w:after="60"/>
        <w:jc w:val="both"/>
        <w:rPr>
          <w:i/>
          <w:lang w:val="en-US"/>
        </w:rPr>
      </w:pPr>
      <w:r w:rsidRPr="00141FDD">
        <w:rPr>
          <w:b/>
          <w:i/>
          <w:lang w:val="en-US"/>
        </w:rPr>
        <w:t>Proposal</w:t>
      </w:r>
      <w:r w:rsidRPr="00141FDD">
        <w:rPr>
          <w:i/>
          <w:lang w:val="en-US"/>
        </w:rPr>
        <w:t xml:space="preserve">: </w:t>
      </w:r>
      <w:r w:rsidR="00B1114B">
        <w:rPr>
          <w:i/>
          <w:lang w:val="en-US"/>
        </w:rPr>
        <w:t>A UE is allowed to resume transmitting in a UE</w:t>
      </w:r>
      <w:r w:rsidR="00D6553A">
        <w:rPr>
          <w:i/>
          <w:lang w:val="en-US"/>
        </w:rPr>
        <w:t>-</w:t>
      </w:r>
      <w:r w:rsidR="00B1114B">
        <w:rPr>
          <w:i/>
          <w:lang w:val="en-US"/>
        </w:rPr>
        <w:t xml:space="preserve">initiated COT after a gap as permitted by the regulation. The </w:t>
      </w:r>
      <w:proofErr w:type="spellStart"/>
      <w:r w:rsidR="00B1114B">
        <w:rPr>
          <w:i/>
          <w:lang w:val="en-US"/>
        </w:rPr>
        <w:t>choise</w:t>
      </w:r>
      <w:proofErr w:type="spellEnd"/>
      <w:r w:rsidR="00B1114B">
        <w:rPr>
          <w:i/>
          <w:lang w:val="en-US"/>
        </w:rPr>
        <w:t xml:space="preserve"> of LBT type after the COT is left for UE implementation. </w:t>
      </w:r>
    </w:p>
    <w:p w14:paraId="56143AA0" w14:textId="790443D1" w:rsidR="00B74AC8" w:rsidRPr="00B1114B" w:rsidRDefault="00B1114B" w:rsidP="00B1114B">
      <w:pPr>
        <w:pStyle w:val="ListParagraph"/>
        <w:numPr>
          <w:ilvl w:val="1"/>
          <w:numId w:val="6"/>
        </w:numPr>
        <w:spacing w:after="60"/>
        <w:jc w:val="both"/>
        <w:rPr>
          <w:bCs/>
          <w:i/>
          <w:iCs/>
          <w:lang w:val="en-US"/>
        </w:rPr>
      </w:pPr>
      <w:r w:rsidRPr="00B1114B">
        <w:rPr>
          <w:i/>
          <w:lang w:val="en-US"/>
        </w:rPr>
        <w:t xml:space="preserve">The related </w:t>
      </w:r>
      <w:r w:rsidR="007612EB" w:rsidRPr="00B1114B">
        <w:rPr>
          <w:bCs/>
          <w:i/>
          <w:iCs/>
          <w:lang w:val="en-US"/>
        </w:rPr>
        <w:t>Draft CR for 37.213 is in [</w:t>
      </w:r>
      <w:r w:rsidR="00621205" w:rsidRPr="00B1114B">
        <w:rPr>
          <w:bCs/>
          <w:i/>
          <w:iCs/>
          <w:lang w:val="en-US"/>
        </w:rPr>
        <w:t>4]</w:t>
      </w:r>
      <w:r w:rsidR="00367CA5" w:rsidRPr="00B1114B">
        <w:rPr>
          <w:bCs/>
          <w:i/>
          <w:iCs/>
          <w:lang w:val="en-US"/>
        </w:rPr>
        <w:t>.</w:t>
      </w:r>
    </w:p>
    <w:bookmarkEnd w:id="1"/>
    <w:bookmarkEnd w:id="4"/>
    <w:p w14:paraId="10445A01" w14:textId="2C2DC600" w:rsidR="00885580" w:rsidRDefault="007820D0" w:rsidP="00885580">
      <w:pPr>
        <w:pStyle w:val="Heading1"/>
      </w:pPr>
      <w:r>
        <w:t>Conclusion</w:t>
      </w:r>
      <w:r w:rsidR="00EC1BD3">
        <w:t xml:space="preserve"> </w:t>
      </w:r>
    </w:p>
    <w:p w14:paraId="118CD66A" w14:textId="752BD332" w:rsidR="00062255" w:rsidRPr="00141FDD" w:rsidRDefault="00AC10F0" w:rsidP="001F201D">
      <w:pPr>
        <w:rPr>
          <w:lang w:val="en-US"/>
        </w:rPr>
      </w:pPr>
      <w:r w:rsidRPr="00141FDD">
        <w:rPr>
          <w:lang w:val="en-US"/>
        </w:rPr>
        <w:t xml:space="preserve">In this contribution, we considered both LBT and no-LBT channel access mechanisms for NR on 60 GHz unlicensed band. We made following observations and proposals: </w:t>
      </w:r>
    </w:p>
    <w:p w14:paraId="4F0D5DEA" w14:textId="05A7C1B8" w:rsidR="00662E35" w:rsidRPr="00B74AC8" w:rsidRDefault="00662E35" w:rsidP="003D2123">
      <w:pPr>
        <w:kinsoku w:val="0"/>
        <w:overflowPunct w:val="0"/>
        <w:adjustRightInd w:val="0"/>
        <w:snapToGrid w:val="0"/>
        <w:spacing w:line="257" w:lineRule="auto"/>
        <w:rPr>
          <w:rFonts w:eastAsia="Gulim" w:cstheme="minorHAnsi"/>
          <w:i/>
          <w:iCs/>
          <w:lang w:val="en-GB" w:eastAsia="ko-KR"/>
        </w:rPr>
      </w:pPr>
    </w:p>
    <w:p w14:paraId="65BE92C4" w14:textId="054C5B69" w:rsidR="00B1114B" w:rsidRDefault="00B1114B" w:rsidP="00B1114B">
      <w:pPr>
        <w:spacing w:after="60"/>
        <w:jc w:val="both"/>
        <w:rPr>
          <w:i/>
          <w:lang w:val="en-US"/>
        </w:rPr>
      </w:pPr>
      <w:r w:rsidRPr="00141FDD">
        <w:rPr>
          <w:b/>
          <w:i/>
          <w:lang w:val="en-US"/>
        </w:rPr>
        <w:t>Proposal</w:t>
      </w:r>
      <w:r w:rsidRPr="00141FDD">
        <w:rPr>
          <w:i/>
          <w:lang w:val="en-US"/>
        </w:rPr>
        <w:t xml:space="preserve">: </w:t>
      </w:r>
      <w:r>
        <w:rPr>
          <w:i/>
          <w:lang w:val="en-US"/>
        </w:rPr>
        <w:t>A UE is allowed to resume transmitting in a UE</w:t>
      </w:r>
      <w:r w:rsidR="00D6553A">
        <w:rPr>
          <w:i/>
          <w:lang w:val="en-US"/>
        </w:rPr>
        <w:t>-</w:t>
      </w:r>
      <w:r>
        <w:rPr>
          <w:i/>
          <w:lang w:val="en-US"/>
        </w:rPr>
        <w:t xml:space="preserve">initiated COT after a gap, as permitted by the regulation. The </w:t>
      </w:r>
      <w:proofErr w:type="spellStart"/>
      <w:r>
        <w:rPr>
          <w:i/>
          <w:lang w:val="en-US"/>
        </w:rPr>
        <w:t>choise</w:t>
      </w:r>
      <w:proofErr w:type="spellEnd"/>
      <w:r>
        <w:rPr>
          <w:i/>
          <w:lang w:val="en-US"/>
        </w:rPr>
        <w:t xml:space="preserve"> of LBT type after the COT is left for UE implementation. </w:t>
      </w:r>
    </w:p>
    <w:p w14:paraId="5B11607D" w14:textId="77777777" w:rsidR="00B1114B" w:rsidRPr="00B1114B" w:rsidRDefault="00B1114B" w:rsidP="00B1114B">
      <w:pPr>
        <w:pStyle w:val="ListParagraph"/>
        <w:numPr>
          <w:ilvl w:val="1"/>
          <w:numId w:val="6"/>
        </w:numPr>
        <w:spacing w:after="60"/>
        <w:jc w:val="both"/>
        <w:rPr>
          <w:bCs/>
          <w:i/>
          <w:iCs/>
          <w:lang w:val="en-US"/>
        </w:rPr>
      </w:pPr>
      <w:r w:rsidRPr="00B1114B">
        <w:rPr>
          <w:i/>
          <w:lang w:val="en-US"/>
        </w:rPr>
        <w:t xml:space="preserve">The related </w:t>
      </w:r>
      <w:r w:rsidRPr="00B1114B">
        <w:rPr>
          <w:bCs/>
          <w:i/>
          <w:iCs/>
          <w:lang w:val="en-US"/>
        </w:rPr>
        <w:t>Draft CR for 37.213 is in [4].</w:t>
      </w:r>
    </w:p>
    <w:p w14:paraId="78115792" w14:textId="77777777" w:rsidR="00662E35" w:rsidRPr="00141FDD" w:rsidRDefault="00662E35" w:rsidP="001F201D">
      <w:pPr>
        <w:rPr>
          <w:lang w:val="en-US"/>
        </w:rPr>
      </w:pPr>
    </w:p>
    <w:p w14:paraId="53CD9119" w14:textId="5206E1F5" w:rsidR="00885580" w:rsidRDefault="00885580" w:rsidP="00885580">
      <w:pPr>
        <w:pStyle w:val="Heading1"/>
        <w:numPr>
          <w:ilvl w:val="0"/>
          <w:numId w:val="0"/>
        </w:numPr>
      </w:pPr>
      <w:r>
        <w:t>References</w:t>
      </w:r>
    </w:p>
    <w:p w14:paraId="4B8FCAE7" w14:textId="1AA18C71" w:rsidR="00F626BD" w:rsidRPr="00141FDD" w:rsidRDefault="00F626BD" w:rsidP="00051AD3">
      <w:pPr>
        <w:pStyle w:val="paragraph"/>
        <w:numPr>
          <w:ilvl w:val="0"/>
          <w:numId w:val="5"/>
        </w:numPr>
        <w:spacing w:before="0" w:beforeAutospacing="0" w:after="0" w:afterAutospacing="0"/>
        <w:textAlignment w:val="baseline"/>
        <w:rPr>
          <w:sz w:val="20"/>
          <w:szCs w:val="20"/>
          <w:lang w:val="en-US"/>
        </w:rPr>
      </w:pPr>
      <w:bookmarkStart w:id="5" w:name="_Ref60037183"/>
      <w:bookmarkStart w:id="6" w:name="_Hlk68621980"/>
      <w:bookmarkStart w:id="7" w:name="_Hlk71634379"/>
      <w:bookmarkStart w:id="8" w:name="_Hlk71634495"/>
      <w:r w:rsidRPr="00141FDD">
        <w:rPr>
          <w:rStyle w:val="normaltextrun"/>
          <w:sz w:val="20"/>
          <w:szCs w:val="20"/>
          <w:lang w:val="en-US"/>
        </w:rPr>
        <w:t>RP-2</w:t>
      </w:r>
      <w:r w:rsidR="00BC53FB" w:rsidRPr="00141FDD">
        <w:rPr>
          <w:rStyle w:val="normaltextrun"/>
          <w:sz w:val="20"/>
          <w:szCs w:val="20"/>
          <w:lang w:val="en-US"/>
        </w:rPr>
        <w:t>11584</w:t>
      </w:r>
      <w:r w:rsidRPr="00141FDD">
        <w:rPr>
          <w:rStyle w:val="normaltextrun"/>
          <w:sz w:val="20"/>
          <w:szCs w:val="20"/>
          <w:lang w:val="en-US"/>
        </w:rPr>
        <w:t>, “</w:t>
      </w:r>
      <w:r w:rsidRPr="00141FDD">
        <w:rPr>
          <w:rStyle w:val="normaltextrun"/>
          <w:i/>
          <w:sz w:val="20"/>
          <w:szCs w:val="20"/>
          <w:lang w:val="en-US"/>
        </w:rPr>
        <w:t>Revised WID: Study on supporting NR from 52.6GHz to 71 GHz</w:t>
      </w:r>
      <w:r w:rsidRPr="00141FDD">
        <w:rPr>
          <w:rStyle w:val="normaltextrun"/>
          <w:sz w:val="20"/>
          <w:szCs w:val="20"/>
          <w:lang w:val="en-US"/>
        </w:rPr>
        <w:t xml:space="preserve">”, </w:t>
      </w:r>
      <w:r w:rsidR="000F72E6" w:rsidRPr="00141FDD">
        <w:rPr>
          <w:rStyle w:val="normaltextrun"/>
          <w:sz w:val="20"/>
          <w:szCs w:val="20"/>
          <w:lang w:val="en-US"/>
        </w:rPr>
        <w:t>Qualcomm, Intel</w:t>
      </w:r>
      <w:r w:rsidRPr="00141FDD">
        <w:rPr>
          <w:rStyle w:val="eop"/>
          <w:sz w:val="20"/>
          <w:szCs w:val="20"/>
          <w:lang w:val="en-US"/>
        </w:rPr>
        <w:t> </w:t>
      </w:r>
    </w:p>
    <w:p w14:paraId="48CBFBDF" w14:textId="1E13541B" w:rsidR="000C5B5B" w:rsidRDefault="00F626BD" w:rsidP="00051AD3">
      <w:pPr>
        <w:pStyle w:val="ListParagraph"/>
        <w:numPr>
          <w:ilvl w:val="0"/>
          <w:numId w:val="5"/>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5"/>
    </w:p>
    <w:p w14:paraId="605EE97C" w14:textId="3154F639" w:rsidR="000B7D60" w:rsidRDefault="000B7D60" w:rsidP="00051AD3">
      <w:pPr>
        <w:pStyle w:val="ListParagraph"/>
        <w:numPr>
          <w:ilvl w:val="0"/>
          <w:numId w:val="5"/>
        </w:numPr>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bookmarkEnd w:id="6"/>
    <w:bookmarkEnd w:id="7"/>
    <w:p w14:paraId="331E8783" w14:textId="6990F9B7" w:rsidR="00367CA5" w:rsidRDefault="00367CA5" w:rsidP="00C81247">
      <w:pPr>
        <w:jc w:val="both"/>
        <w:rPr>
          <w:sz w:val="20"/>
          <w:szCs w:val="20"/>
          <w:lang w:val="en-GB"/>
        </w:rPr>
      </w:pPr>
      <w:r>
        <w:rPr>
          <w:sz w:val="20"/>
          <w:szCs w:val="20"/>
          <w:lang w:val="en-GB"/>
        </w:rPr>
        <w:t>[</w:t>
      </w:r>
      <w:r w:rsidR="00621205">
        <w:rPr>
          <w:sz w:val="20"/>
          <w:szCs w:val="20"/>
          <w:lang w:val="en-GB"/>
        </w:rPr>
        <w:t>4</w:t>
      </w:r>
      <w:r>
        <w:rPr>
          <w:sz w:val="20"/>
          <w:szCs w:val="20"/>
          <w:lang w:val="en-GB"/>
        </w:rPr>
        <w:t>]</w:t>
      </w:r>
      <w:r w:rsidR="00855CE2" w:rsidRPr="00D57983">
        <w:rPr>
          <w:lang w:val="en-US"/>
        </w:rPr>
        <w:t xml:space="preserve"> </w:t>
      </w:r>
      <w:r w:rsidR="00855CE2" w:rsidRPr="00855CE2">
        <w:rPr>
          <w:sz w:val="20"/>
          <w:szCs w:val="20"/>
          <w:lang w:val="en-GB"/>
        </w:rPr>
        <w:t>R1-</w:t>
      </w:r>
      <w:r w:rsidR="00855CE2" w:rsidRPr="009603D9">
        <w:rPr>
          <w:sz w:val="20"/>
          <w:szCs w:val="20"/>
          <w:lang w:val="en-GB"/>
        </w:rPr>
        <w:t>2</w:t>
      </w:r>
      <w:r w:rsidR="00621205" w:rsidRPr="009603D9">
        <w:rPr>
          <w:sz w:val="20"/>
          <w:szCs w:val="20"/>
          <w:lang w:val="en-GB"/>
        </w:rPr>
        <w:t>3</w:t>
      </w:r>
      <w:r w:rsidR="009603D9" w:rsidRPr="009603D9">
        <w:rPr>
          <w:sz w:val="20"/>
          <w:szCs w:val="20"/>
          <w:lang w:val="en-GB"/>
        </w:rPr>
        <w:t>01729</w:t>
      </w:r>
      <w:r w:rsidR="00855CE2">
        <w:rPr>
          <w:sz w:val="20"/>
          <w:szCs w:val="20"/>
          <w:lang w:val="en-GB"/>
        </w:rPr>
        <w:t>,</w:t>
      </w:r>
      <w:r w:rsidR="00855CE2" w:rsidRPr="00855CE2">
        <w:rPr>
          <w:sz w:val="20"/>
          <w:szCs w:val="20"/>
          <w:lang w:val="en-GB"/>
        </w:rPr>
        <w:tab/>
      </w:r>
      <w:r w:rsidR="00621205">
        <w:rPr>
          <w:sz w:val="20"/>
          <w:szCs w:val="20"/>
          <w:lang w:val="en-GB"/>
        </w:rPr>
        <w:t>“</w:t>
      </w:r>
      <w:r w:rsidR="005A66FF" w:rsidRPr="005A66FF">
        <w:rPr>
          <w:i/>
          <w:iCs/>
          <w:sz w:val="20"/>
          <w:szCs w:val="20"/>
          <w:lang w:val="en-GB"/>
        </w:rPr>
        <w:t>Correction on UE resuming a UE initiated COT</w:t>
      </w:r>
      <w:r w:rsidR="00621205">
        <w:rPr>
          <w:i/>
          <w:iCs/>
          <w:sz w:val="20"/>
          <w:szCs w:val="20"/>
          <w:lang w:val="en-GB"/>
        </w:rPr>
        <w:t>”</w:t>
      </w:r>
      <w:r w:rsidR="00855CE2">
        <w:rPr>
          <w:sz w:val="20"/>
          <w:szCs w:val="20"/>
          <w:lang w:val="en-GB"/>
        </w:rPr>
        <w:t>,</w:t>
      </w:r>
      <w:r w:rsidR="00855CE2" w:rsidRPr="00855CE2">
        <w:rPr>
          <w:sz w:val="20"/>
          <w:szCs w:val="20"/>
          <w:lang w:val="en-GB"/>
        </w:rPr>
        <w:tab/>
        <w:t>Nokia, Nokia Shanghai Bell</w:t>
      </w:r>
      <w:r>
        <w:rPr>
          <w:sz w:val="20"/>
          <w:szCs w:val="20"/>
          <w:lang w:val="en-GB"/>
        </w:rPr>
        <w:t xml:space="preserve"> </w:t>
      </w:r>
    </w:p>
    <w:p w14:paraId="26B1C123" w14:textId="489E37EB" w:rsidR="00593341" w:rsidRPr="00C81247" w:rsidRDefault="00593341" w:rsidP="00C81247">
      <w:pPr>
        <w:jc w:val="both"/>
        <w:rPr>
          <w:sz w:val="20"/>
          <w:szCs w:val="20"/>
          <w:lang w:val="en-GB"/>
        </w:rPr>
      </w:pPr>
    </w:p>
    <w:bookmarkEnd w:id="8"/>
    <w:p w14:paraId="2EC72C0C" w14:textId="77777777" w:rsidR="00B22BB7" w:rsidRPr="00D57983" w:rsidRDefault="00B22BB7" w:rsidP="00C20B13">
      <w:pPr>
        <w:rPr>
          <w:rFonts w:eastAsia="Times New Roman"/>
          <w:i/>
          <w:color w:val="000000"/>
          <w:lang w:val="en-US"/>
        </w:rPr>
      </w:pPr>
    </w:p>
    <w:sectPr w:rsidR="00B22BB7" w:rsidRPr="00D5798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9AE4" w14:textId="77777777" w:rsidR="00314D77" w:rsidRDefault="00314D77">
      <w:r>
        <w:separator/>
      </w:r>
    </w:p>
  </w:endnote>
  <w:endnote w:type="continuationSeparator" w:id="0">
    <w:p w14:paraId="4F2DB0A4" w14:textId="77777777" w:rsidR="00314D77" w:rsidRDefault="00314D77">
      <w:r>
        <w:continuationSeparator/>
      </w:r>
    </w:p>
  </w:endnote>
  <w:endnote w:type="continuationNotice" w:id="1">
    <w:p w14:paraId="3D451170" w14:textId="77777777" w:rsidR="00314D77" w:rsidRDefault="00314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504B" w14:textId="77777777" w:rsidR="00314D77" w:rsidRDefault="00314D77">
      <w:r>
        <w:separator/>
      </w:r>
    </w:p>
  </w:footnote>
  <w:footnote w:type="continuationSeparator" w:id="0">
    <w:p w14:paraId="440EB46F" w14:textId="77777777" w:rsidR="00314D77" w:rsidRDefault="00314D77">
      <w:r>
        <w:continuationSeparator/>
      </w:r>
    </w:p>
  </w:footnote>
  <w:footnote w:type="continuationNotice" w:id="1">
    <w:p w14:paraId="6A44AC93" w14:textId="77777777" w:rsidR="00314D77" w:rsidRDefault="00314D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28"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16"/>
  </w:num>
  <w:num w:numId="4">
    <w:abstractNumId w:val="1"/>
  </w:num>
  <w:num w:numId="5">
    <w:abstractNumId w:val="8"/>
  </w:num>
  <w:num w:numId="6">
    <w:abstractNumId w:val="2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7"/>
  </w:num>
  <w:num w:numId="10">
    <w:abstractNumId w:val="21"/>
  </w:num>
  <w:num w:numId="11">
    <w:abstractNumId w:val="30"/>
  </w:num>
  <w:num w:numId="12">
    <w:abstractNumId w:val="2"/>
  </w:num>
  <w:num w:numId="13">
    <w:abstractNumId w:val="5"/>
  </w:num>
  <w:num w:numId="14">
    <w:abstractNumId w:val="6"/>
  </w:num>
  <w:num w:numId="15">
    <w:abstractNumId w:val="4"/>
  </w:num>
  <w:num w:numId="16">
    <w:abstractNumId w:val="18"/>
  </w:num>
  <w:num w:numId="17">
    <w:abstractNumId w:val="13"/>
  </w:num>
  <w:num w:numId="18">
    <w:abstractNumId w:val="33"/>
  </w:num>
  <w:num w:numId="19">
    <w:abstractNumId w:val="25"/>
  </w:num>
  <w:num w:numId="20">
    <w:abstractNumId w:val="12"/>
  </w:num>
  <w:num w:numId="21">
    <w:abstractNumId w:val="32"/>
  </w:num>
  <w:num w:numId="22">
    <w:abstractNumId w:val="4"/>
  </w:num>
  <w:num w:numId="23">
    <w:abstractNumId w:val="6"/>
  </w:num>
  <w:num w:numId="24">
    <w:abstractNumId w:val="9"/>
  </w:num>
  <w:num w:numId="25">
    <w:abstractNumId w:val="10"/>
  </w:num>
  <w:num w:numId="26">
    <w:abstractNumId w:val="3"/>
  </w:num>
  <w:num w:numId="27">
    <w:abstractNumId w:val="26"/>
  </w:num>
  <w:num w:numId="28">
    <w:abstractNumId w:val="7"/>
  </w:num>
  <w:num w:numId="29">
    <w:abstractNumId w:val="28"/>
  </w:num>
  <w:num w:numId="30">
    <w:abstractNumId w:val="29"/>
  </w:num>
  <w:num w:numId="31">
    <w:abstractNumId w:val="20"/>
  </w:num>
  <w:num w:numId="32">
    <w:abstractNumId w:val="0"/>
  </w:num>
  <w:num w:numId="33">
    <w:abstractNumId w:val="11"/>
  </w:num>
  <w:num w:numId="34">
    <w:abstractNumId w:val="24"/>
  </w:num>
  <w:num w:numId="35">
    <w:abstractNumId w:val="19"/>
  </w:num>
  <w:num w:numId="36">
    <w:abstractNumId w:val="26"/>
  </w:num>
  <w:num w:numId="37">
    <w:abstractNumId w:val="22"/>
  </w:num>
  <w:num w:numId="38">
    <w:abstractNumId w:val="26"/>
  </w:num>
  <w:num w:numId="3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A92"/>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6FF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08BC"/>
    <w:rsid w:val="00091A92"/>
    <w:rsid w:val="00091CEE"/>
    <w:rsid w:val="000922CF"/>
    <w:rsid w:val="00092AFA"/>
    <w:rsid w:val="0009348C"/>
    <w:rsid w:val="00093585"/>
    <w:rsid w:val="00093782"/>
    <w:rsid w:val="00093C49"/>
    <w:rsid w:val="00093D8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A7FD7"/>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DD"/>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6C1E"/>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D99"/>
    <w:rsid w:val="001A5E19"/>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B7F17"/>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B69"/>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0E4B"/>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150D"/>
    <w:rsid w:val="00292399"/>
    <w:rsid w:val="00292456"/>
    <w:rsid w:val="00294445"/>
    <w:rsid w:val="00294746"/>
    <w:rsid w:val="00294B4D"/>
    <w:rsid w:val="0029508F"/>
    <w:rsid w:val="0029537E"/>
    <w:rsid w:val="002960D5"/>
    <w:rsid w:val="00296B10"/>
    <w:rsid w:val="00296C98"/>
    <w:rsid w:val="00297126"/>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4D77"/>
    <w:rsid w:val="003150CE"/>
    <w:rsid w:val="003152C4"/>
    <w:rsid w:val="00315AAB"/>
    <w:rsid w:val="003175E1"/>
    <w:rsid w:val="003201BB"/>
    <w:rsid w:val="00320299"/>
    <w:rsid w:val="0032098C"/>
    <w:rsid w:val="00320A52"/>
    <w:rsid w:val="00321127"/>
    <w:rsid w:val="00321154"/>
    <w:rsid w:val="003211B0"/>
    <w:rsid w:val="00321CB3"/>
    <w:rsid w:val="00321EDA"/>
    <w:rsid w:val="003224AA"/>
    <w:rsid w:val="003224D4"/>
    <w:rsid w:val="003224E7"/>
    <w:rsid w:val="0032256F"/>
    <w:rsid w:val="00322683"/>
    <w:rsid w:val="00323574"/>
    <w:rsid w:val="00324020"/>
    <w:rsid w:val="003245BB"/>
    <w:rsid w:val="0032494A"/>
    <w:rsid w:val="00325315"/>
    <w:rsid w:val="00325D7A"/>
    <w:rsid w:val="00326145"/>
    <w:rsid w:val="00327162"/>
    <w:rsid w:val="00327163"/>
    <w:rsid w:val="00327280"/>
    <w:rsid w:val="00327305"/>
    <w:rsid w:val="00327531"/>
    <w:rsid w:val="00327C45"/>
    <w:rsid w:val="003300BD"/>
    <w:rsid w:val="00330187"/>
    <w:rsid w:val="00330579"/>
    <w:rsid w:val="0033166D"/>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CA5"/>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18D"/>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123"/>
    <w:rsid w:val="003D232D"/>
    <w:rsid w:val="003D254E"/>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5DC8"/>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341"/>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66FF"/>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C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4DA"/>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205"/>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04"/>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2E35"/>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0C92"/>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2E0"/>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6F23"/>
    <w:rsid w:val="00757F0B"/>
    <w:rsid w:val="00760314"/>
    <w:rsid w:val="007612E7"/>
    <w:rsid w:val="007612EB"/>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491"/>
    <w:rsid w:val="007915AA"/>
    <w:rsid w:val="00791A00"/>
    <w:rsid w:val="00791DDB"/>
    <w:rsid w:val="00792363"/>
    <w:rsid w:val="007925D9"/>
    <w:rsid w:val="00792CEE"/>
    <w:rsid w:val="007936A8"/>
    <w:rsid w:val="007944A2"/>
    <w:rsid w:val="00794B4D"/>
    <w:rsid w:val="00794B95"/>
    <w:rsid w:val="00794F3B"/>
    <w:rsid w:val="007958F2"/>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44FC"/>
    <w:rsid w:val="007E4880"/>
    <w:rsid w:val="007E5079"/>
    <w:rsid w:val="007E5AC2"/>
    <w:rsid w:val="007E5FDB"/>
    <w:rsid w:val="007E6C21"/>
    <w:rsid w:val="007E7757"/>
    <w:rsid w:val="007E79C5"/>
    <w:rsid w:val="007EB26D"/>
    <w:rsid w:val="007F0798"/>
    <w:rsid w:val="007F16CA"/>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1F2"/>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88"/>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6ABF"/>
    <w:rsid w:val="00847767"/>
    <w:rsid w:val="00847B17"/>
    <w:rsid w:val="00847D3A"/>
    <w:rsid w:val="008502F1"/>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5CE2"/>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0C"/>
    <w:rsid w:val="0089716F"/>
    <w:rsid w:val="008972D6"/>
    <w:rsid w:val="00897C71"/>
    <w:rsid w:val="008A01F5"/>
    <w:rsid w:val="008A02EC"/>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A5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3D9"/>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720"/>
    <w:rsid w:val="009A3789"/>
    <w:rsid w:val="009A3D96"/>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317"/>
    <w:rsid w:val="009C543C"/>
    <w:rsid w:val="009C599A"/>
    <w:rsid w:val="009C5CAA"/>
    <w:rsid w:val="009C5CC4"/>
    <w:rsid w:val="009C5EFF"/>
    <w:rsid w:val="009C650E"/>
    <w:rsid w:val="009C67E9"/>
    <w:rsid w:val="009C70DB"/>
    <w:rsid w:val="009C7390"/>
    <w:rsid w:val="009C73B4"/>
    <w:rsid w:val="009C75F6"/>
    <w:rsid w:val="009C774A"/>
    <w:rsid w:val="009C7885"/>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3D53"/>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2CD6"/>
    <w:rsid w:val="00AC35AB"/>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306"/>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296"/>
    <w:rsid w:val="00B05702"/>
    <w:rsid w:val="00B06169"/>
    <w:rsid w:val="00B06CBC"/>
    <w:rsid w:val="00B06DD9"/>
    <w:rsid w:val="00B07333"/>
    <w:rsid w:val="00B074BB"/>
    <w:rsid w:val="00B07AA6"/>
    <w:rsid w:val="00B07CD6"/>
    <w:rsid w:val="00B07E52"/>
    <w:rsid w:val="00B07FDA"/>
    <w:rsid w:val="00B10010"/>
    <w:rsid w:val="00B1114B"/>
    <w:rsid w:val="00B11775"/>
    <w:rsid w:val="00B11817"/>
    <w:rsid w:val="00B122EA"/>
    <w:rsid w:val="00B12A56"/>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2C30"/>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36010"/>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4AC8"/>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942"/>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EF2"/>
    <w:rsid w:val="00BF0FC5"/>
    <w:rsid w:val="00BF10BC"/>
    <w:rsid w:val="00BF1E03"/>
    <w:rsid w:val="00BF1FB1"/>
    <w:rsid w:val="00BF21A8"/>
    <w:rsid w:val="00BF21AC"/>
    <w:rsid w:val="00BF2E53"/>
    <w:rsid w:val="00BF311B"/>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AB8"/>
    <w:rsid w:val="00C76F1D"/>
    <w:rsid w:val="00C77937"/>
    <w:rsid w:val="00C77CA4"/>
    <w:rsid w:val="00C77D26"/>
    <w:rsid w:val="00C80BDF"/>
    <w:rsid w:val="00C81247"/>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99F"/>
    <w:rsid w:val="00CB6795"/>
    <w:rsid w:val="00CB71F8"/>
    <w:rsid w:val="00CB76B6"/>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811"/>
    <w:rsid w:val="00CE5BE8"/>
    <w:rsid w:val="00CE66E2"/>
    <w:rsid w:val="00CE6F0F"/>
    <w:rsid w:val="00CE6F69"/>
    <w:rsid w:val="00CF002F"/>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4E0B"/>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983"/>
    <w:rsid w:val="00D57A3F"/>
    <w:rsid w:val="00D57AF0"/>
    <w:rsid w:val="00D60480"/>
    <w:rsid w:val="00D61815"/>
    <w:rsid w:val="00D61DF2"/>
    <w:rsid w:val="00D627E3"/>
    <w:rsid w:val="00D628D8"/>
    <w:rsid w:val="00D62C7F"/>
    <w:rsid w:val="00D62CE1"/>
    <w:rsid w:val="00D62D6D"/>
    <w:rsid w:val="00D62ECD"/>
    <w:rsid w:val="00D64426"/>
    <w:rsid w:val="00D64475"/>
    <w:rsid w:val="00D6553A"/>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0CA"/>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3DAE"/>
    <w:rsid w:val="00DD4359"/>
    <w:rsid w:val="00DD55E0"/>
    <w:rsid w:val="00DD5986"/>
    <w:rsid w:val="00DD60B1"/>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AA3"/>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52CC"/>
    <w:rsid w:val="00E25889"/>
    <w:rsid w:val="00E264EA"/>
    <w:rsid w:val="00E26727"/>
    <w:rsid w:val="00E26970"/>
    <w:rsid w:val="00E2728F"/>
    <w:rsid w:val="00E27791"/>
    <w:rsid w:val="00E30AE9"/>
    <w:rsid w:val="00E30F2D"/>
    <w:rsid w:val="00E319DB"/>
    <w:rsid w:val="00E31AFC"/>
    <w:rsid w:val="00E3250F"/>
    <w:rsid w:val="00E32EC4"/>
    <w:rsid w:val="00E33754"/>
    <w:rsid w:val="00E33894"/>
    <w:rsid w:val="00E33AE7"/>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72A"/>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1DC"/>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8AD"/>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478A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5820"/>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5B5"/>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3A"/>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655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53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pPr>
    <w:rPr>
      <w:rFonts w:eastAsia="Times New Roman"/>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snapToGrid w:val="0"/>
      <w:spacing w:after="60" w:line="252" w:lineRule="auto"/>
      <w:jc w:val="both"/>
    </w:pPr>
    <w:rPr>
      <w:rFonts w:ascii="Batang" w:hAnsi="Batang"/>
    </w:rPr>
  </w:style>
  <w:style w:type="paragraph" w:customStyle="1" w:styleId="bullet">
    <w:name w:val="bullet"/>
    <w:basedOn w:val="ListParagraph"/>
    <w:qFormat/>
    <w:rsid w:val="00F32ADD"/>
    <w:pPr>
      <w:widowControl w:val="0"/>
      <w:numPr>
        <w:numId w:val="17"/>
      </w:numPr>
      <w:kinsoku w:val="0"/>
      <w:spacing w:after="60"/>
      <w:ind w:left="360"/>
      <w:jc w:val="both"/>
    </w:pPr>
    <w:rPr>
      <w:rFonts w:eastAsia="Times New Roman"/>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8803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221963">
      <w:bodyDiv w:val="1"/>
      <w:marLeft w:val="0"/>
      <w:marRight w:val="0"/>
      <w:marTop w:val="0"/>
      <w:marBottom w:val="0"/>
      <w:divBdr>
        <w:top w:val="none" w:sz="0" w:space="0" w:color="auto"/>
        <w:left w:val="none" w:sz="0" w:space="0" w:color="auto"/>
        <w:bottom w:val="none" w:sz="0" w:space="0" w:color="auto"/>
        <w:right w:val="none" w:sz="0" w:space="0" w:color="auto"/>
      </w:divBdr>
    </w:div>
    <w:div w:id="49403646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07006481">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35353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381631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844774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8071660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665584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6180601">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5AIRPNAIUNRU-1830940522-16495</_dlc_DocId>
    <_dlc_DocIdUrl xmlns="71c5aaf6-e6ce-465b-b873-5148d2a4c105">
      <Url>https://nokia.sharepoint.com/sites/c5g/5gradio/_layouts/15/DocIdRedir.aspx?ID=5AIRPNAIUNRU-1830940522-16495</Url>
      <Description>5AIRPNAIUNRU-1830940522-16495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DF2BE-B069-484D-8F46-DDCD1CBD4CD1}">
  <ds:schemaRefs>
    <ds:schemaRef ds:uri="http://schemas.microsoft.com/sharepoint/events"/>
  </ds:schemaRefs>
</ds:datastoreItem>
</file>

<file path=customXml/itemProps2.xml><?xml version="1.0" encoding="utf-8"?>
<ds:datastoreItem xmlns:ds="http://schemas.openxmlformats.org/officeDocument/2006/customXml" ds:itemID="{4841D594-048A-43F2-90A8-77848239404B}">
  <ds:schemaRefs>
    <ds:schemaRef ds:uri="http://schemas.microsoft.com/office/2006/metadata/properties"/>
    <ds:schemaRef ds:uri="http://purl.org/dc/elements/1.1/"/>
    <ds:schemaRef ds:uri="http://www.w3.org/XML/1998/namespace"/>
    <ds:schemaRef ds:uri="http://schemas.microsoft.com/office/2006/documentManagement/types"/>
    <ds:schemaRef ds:uri="3b34c8f0-1ef5-4d1e-bb66-517ce7fe7356"/>
    <ds:schemaRef ds:uri="http://purl.org/dc/dcmitype/"/>
    <ds:schemaRef ds:uri="http://schemas.microsoft.com/office/infopath/2007/PartnerControls"/>
    <ds:schemaRef ds:uri="http://schemas.openxmlformats.org/package/2006/metadata/core-properties"/>
    <ds:schemaRef ds:uri="ebabf6ce-2443-438c-9946-ecc878e7654a"/>
    <ds:schemaRef ds:uri="95d2e41d-1f11-4347-bb1c-11d6a32975dd"/>
    <ds:schemaRef ds:uri="71c5aaf6-e6ce-465b-b873-5148d2a4c105"/>
    <ds:schemaRef ds:uri="http://purl.org/dc/terms/"/>
  </ds:schemaRefs>
</ds:datastoreItem>
</file>

<file path=customXml/itemProps3.xml><?xml version="1.0" encoding="utf-8"?>
<ds:datastoreItem xmlns:ds="http://schemas.openxmlformats.org/officeDocument/2006/customXml" ds:itemID="{ABEAF000-0C09-4CDE-979C-004E5ED0E924}">
  <ds:schemaRefs>
    <ds:schemaRef ds:uri="http://schemas.microsoft.com/sharepoint/v3/contenttype/forms"/>
  </ds:schemaRefs>
</ds:datastoreItem>
</file>

<file path=customXml/itemProps4.xml><?xml version="1.0" encoding="utf-8"?>
<ds:datastoreItem xmlns:ds="http://schemas.openxmlformats.org/officeDocument/2006/customXml" ds:itemID="{8F782F7F-07A2-4FD0-97F2-33073835AB65}">
  <ds:schemaRefs>
    <ds:schemaRef ds:uri="http://schemas.openxmlformats.org/officeDocument/2006/bibliography"/>
  </ds:schemaRefs>
</ds:datastoreItem>
</file>

<file path=customXml/itemProps5.xml><?xml version="1.0" encoding="utf-8"?>
<ds:datastoreItem xmlns:ds="http://schemas.openxmlformats.org/officeDocument/2006/customXml" ds:itemID="{1E5D4BE4-6190-4A0D-AC9B-E347CB188678}">
  <ds:schemaRefs>
    <ds:schemaRef ds:uri="Microsoft.SharePoint.Taxonomy.ContentTypeSync"/>
  </ds:schemaRefs>
</ds:datastoreItem>
</file>

<file path=customXml/itemProps6.xml><?xml version="1.0" encoding="utf-8"?>
<ds:datastoreItem xmlns:ds="http://schemas.openxmlformats.org/officeDocument/2006/customXml" ds:itemID="{F94ACCC5-9273-4C6C-B842-4220BCAC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2023-02-15T08:05:00Z</dcterms:created>
  <dcterms:modified xsi:type="dcterms:W3CDTF">2023-02-17T15:25:00Z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c0cef645-6456-49cc-9423-3100d9c32101</vt:lpwstr>
  </property>
</Properties>
</file>